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4850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23E802BA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16BD4F26" w14:textId="77777777" w:rsidR="00C27B23" w:rsidRPr="0041405A" w:rsidRDefault="0048249A" w:rsidP="00BA324C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77921368" w14:textId="1F6FD364" w:rsidR="00C27B23" w:rsidRPr="0041405A" w:rsidRDefault="009E3D43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</w:t>
      </w:r>
      <w:r w:rsidR="0048249A" w:rsidRPr="0041405A">
        <w:rPr>
          <w:rFonts w:ascii="Titillium" w:hAnsi="Titillium"/>
          <w:sz w:val="20"/>
          <w:szCs w:val="20"/>
        </w:rPr>
        <w:t xml:space="preserve">ata </w:t>
      </w:r>
      <w:r w:rsidR="0048249A" w:rsidRPr="009E3D43">
        <w:rPr>
          <w:rFonts w:ascii="Titillium" w:hAnsi="Titillium"/>
          <w:sz w:val="20"/>
          <w:szCs w:val="20"/>
          <w:u w:val="single"/>
        </w:rPr>
        <w:t xml:space="preserve">di </w:t>
      </w:r>
      <w:r w:rsidRPr="009E3D43">
        <w:rPr>
          <w:rFonts w:ascii="Titillium" w:hAnsi="Titillium"/>
          <w:sz w:val="20"/>
          <w:szCs w:val="20"/>
          <w:u w:val="single"/>
        </w:rPr>
        <w:t>inizio</w:t>
      </w:r>
      <w:r w:rsidR="0048249A" w:rsidRPr="0041405A">
        <w:rPr>
          <w:rFonts w:ascii="Titillium" w:hAnsi="Titillium"/>
          <w:sz w:val="20"/>
          <w:szCs w:val="20"/>
        </w:rPr>
        <w:t xml:space="preserve"> </w:t>
      </w:r>
      <w:r w:rsidRPr="0041405A">
        <w:rPr>
          <w:rFonts w:ascii="Titillium" w:hAnsi="Titillium"/>
          <w:sz w:val="20"/>
          <w:szCs w:val="20"/>
        </w:rPr>
        <w:t>della rilevazione</w:t>
      </w:r>
      <w:r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>30</w:t>
      </w:r>
      <w:r w:rsidR="0048249A" w:rsidRPr="0041405A">
        <w:rPr>
          <w:rFonts w:ascii="Titillium" w:hAnsi="Titillium"/>
          <w:sz w:val="20"/>
          <w:szCs w:val="20"/>
        </w:rPr>
        <w:t>/</w:t>
      </w:r>
      <w:r>
        <w:rPr>
          <w:rFonts w:ascii="Titillium" w:hAnsi="Titillium"/>
          <w:sz w:val="20"/>
          <w:szCs w:val="20"/>
        </w:rPr>
        <w:t>05</w:t>
      </w:r>
      <w:r w:rsidR="0048249A" w:rsidRPr="0041405A">
        <w:rPr>
          <w:rFonts w:ascii="Titillium" w:hAnsi="Titillium"/>
          <w:sz w:val="20"/>
          <w:szCs w:val="20"/>
        </w:rPr>
        <w:t>/</w:t>
      </w:r>
      <w:r>
        <w:rPr>
          <w:rFonts w:ascii="Titillium" w:hAnsi="Titillium"/>
          <w:sz w:val="20"/>
          <w:szCs w:val="20"/>
        </w:rPr>
        <w:t>2022</w:t>
      </w:r>
      <w:r w:rsidR="0048249A" w:rsidRPr="0041405A">
        <w:rPr>
          <w:rFonts w:ascii="Titillium" w:hAnsi="Titillium"/>
          <w:sz w:val="20"/>
          <w:szCs w:val="20"/>
        </w:rPr>
        <w:t>.</w:t>
      </w:r>
    </w:p>
    <w:p w14:paraId="39FF7C3C" w14:textId="27B642E9" w:rsidR="00C27B23" w:rsidRPr="0041405A" w:rsidRDefault="009E3D43" w:rsidP="00BA324C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D</w:t>
      </w:r>
      <w:r w:rsidR="0048249A" w:rsidRPr="009E3D43">
        <w:rPr>
          <w:rFonts w:ascii="Titillium" w:hAnsi="Titillium"/>
          <w:sz w:val="20"/>
          <w:szCs w:val="20"/>
        </w:rPr>
        <w:t xml:space="preserve">ata </w:t>
      </w:r>
      <w:r w:rsidR="0048249A" w:rsidRPr="0041405A">
        <w:rPr>
          <w:rFonts w:ascii="Titillium" w:hAnsi="Titillium"/>
          <w:sz w:val="20"/>
          <w:szCs w:val="20"/>
          <w:u w:val="single"/>
        </w:rPr>
        <w:t>di fine</w:t>
      </w:r>
      <w:r w:rsidR="00FC7906" w:rsidRPr="0041405A">
        <w:rPr>
          <w:rFonts w:ascii="Titillium" w:hAnsi="Titillium"/>
          <w:sz w:val="20"/>
          <w:szCs w:val="20"/>
        </w:rPr>
        <w:t xml:space="preserve"> della rilevazione</w:t>
      </w:r>
      <w:r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>3</w:t>
      </w:r>
      <w:r>
        <w:rPr>
          <w:rFonts w:ascii="Titillium" w:hAnsi="Titillium"/>
          <w:sz w:val="20"/>
          <w:szCs w:val="20"/>
        </w:rPr>
        <w:t>1</w:t>
      </w:r>
      <w:r w:rsidRPr="0041405A">
        <w:rPr>
          <w:rFonts w:ascii="Titillium" w:hAnsi="Titillium"/>
          <w:sz w:val="20"/>
          <w:szCs w:val="20"/>
        </w:rPr>
        <w:t>/</w:t>
      </w:r>
      <w:r>
        <w:rPr>
          <w:rFonts w:ascii="Titillium" w:hAnsi="Titillium"/>
          <w:sz w:val="20"/>
          <w:szCs w:val="20"/>
        </w:rPr>
        <w:t>05</w:t>
      </w:r>
      <w:r w:rsidRPr="0041405A">
        <w:rPr>
          <w:rFonts w:ascii="Titillium" w:hAnsi="Titillium"/>
          <w:sz w:val="20"/>
          <w:szCs w:val="20"/>
        </w:rPr>
        <w:t>/</w:t>
      </w:r>
      <w:r>
        <w:rPr>
          <w:rFonts w:ascii="Titillium" w:hAnsi="Titillium"/>
          <w:sz w:val="20"/>
          <w:szCs w:val="20"/>
        </w:rPr>
        <w:t>202</w:t>
      </w:r>
      <w:r>
        <w:rPr>
          <w:rFonts w:ascii="Titillium" w:hAnsi="Titillium"/>
          <w:sz w:val="20"/>
          <w:szCs w:val="20"/>
        </w:rPr>
        <w:t>2</w:t>
      </w:r>
      <w:r w:rsidR="00955140" w:rsidRPr="0041405A">
        <w:rPr>
          <w:rFonts w:ascii="Titillium" w:hAnsi="Titillium"/>
          <w:sz w:val="20"/>
          <w:szCs w:val="20"/>
        </w:rPr>
        <w:t>.</w:t>
      </w:r>
    </w:p>
    <w:p w14:paraId="194DE297" w14:textId="77777777" w:rsidR="00C27B23" w:rsidRPr="0041405A" w:rsidRDefault="00C27B23" w:rsidP="00BA324C">
      <w:pPr>
        <w:pStyle w:val="Paragrafoelenco"/>
        <w:spacing w:line="360" w:lineRule="auto"/>
        <w:ind w:left="0" w:firstLine="0"/>
        <w:rPr>
          <w:rFonts w:ascii="Titillium" w:hAnsi="Titillium"/>
          <w:sz w:val="20"/>
          <w:szCs w:val="20"/>
        </w:rPr>
      </w:pPr>
    </w:p>
    <w:p w14:paraId="5BFA77B2" w14:textId="77777777" w:rsidR="00C27B23" w:rsidRPr="0041405A" w:rsidRDefault="0048249A" w:rsidP="00BA324C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23D5BE38" w14:textId="5FFFD458" w:rsidR="00C27B23" w:rsidRPr="0041405A" w:rsidRDefault="009E3D43" w:rsidP="00BA324C">
      <w:pPr>
        <w:tabs>
          <w:tab w:val="left" w:pos="0"/>
        </w:tabs>
        <w:spacing w:line="276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L’ente non è articolato in uffici periferici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59EF3100" w14:textId="77777777" w:rsidR="00C27B23" w:rsidRPr="00BA324C" w:rsidRDefault="00C27B23" w:rsidP="00BA324C">
      <w:pPr>
        <w:spacing w:line="360" w:lineRule="auto"/>
        <w:rPr>
          <w:rFonts w:ascii="Titillium" w:hAnsi="Titillium"/>
          <w:sz w:val="20"/>
          <w:szCs w:val="20"/>
        </w:rPr>
      </w:pPr>
    </w:p>
    <w:p w14:paraId="4837B1DA" w14:textId="77777777" w:rsidR="00C27B23" w:rsidRPr="0041405A" w:rsidRDefault="0048249A" w:rsidP="00BA324C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77D81BD" w14:textId="14F6EA84" w:rsidR="00C27B23" w:rsidRPr="0041405A" w:rsidRDefault="009E3D43" w:rsidP="00BA324C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La rilevazione è stata svolta </w:t>
      </w:r>
      <w:r w:rsidR="00BA324C">
        <w:rPr>
          <w:rFonts w:ascii="Titillium" w:hAnsi="Titillium"/>
          <w:sz w:val="20"/>
          <w:szCs w:val="20"/>
        </w:rPr>
        <w:t xml:space="preserve">mediante verifica diretta della sezione Amministrazione Trasparente del sito istituzionale, integrata in caso di necessità dall’esame della </w:t>
      </w:r>
      <w:r w:rsidR="00BA324C" w:rsidRPr="0041405A">
        <w:rPr>
          <w:rFonts w:ascii="Titillium" w:hAnsi="Titillium"/>
          <w:sz w:val="20"/>
          <w:szCs w:val="20"/>
        </w:rPr>
        <w:t>documentazione e delle banche dati relative ai dati oggetto di attestazione</w:t>
      </w:r>
      <w:r w:rsidR="00BA324C">
        <w:rPr>
          <w:rFonts w:ascii="Titillium" w:hAnsi="Titillium"/>
          <w:sz w:val="20"/>
          <w:szCs w:val="20"/>
        </w:rPr>
        <w:t>. In caso di elementi di dubbio o incertezza si è fatto ricorso a un colloquio con i</w:t>
      </w:r>
      <w:r w:rsidR="0048249A" w:rsidRPr="0041405A">
        <w:rPr>
          <w:rFonts w:ascii="Titillium" w:hAnsi="Titillium"/>
          <w:sz w:val="20"/>
          <w:szCs w:val="20"/>
        </w:rPr>
        <w:t>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="0048249A" w:rsidRPr="0041405A">
        <w:rPr>
          <w:rFonts w:ascii="Titillium" w:hAnsi="Titillium"/>
          <w:sz w:val="20"/>
          <w:szCs w:val="20"/>
        </w:rPr>
        <w:t xml:space="preserve"> trasparenza </w:t>
      </w:r>
      <w:r w:rsidR="00BA324C">
        <w:rPr>
          <w:rFonts w:ascii="Titillium" w:hAnsi="Titillium"/>
          <w:sz w:val="20"/>
          <w:szCs w:val="20"/>
        </w:rPr>
        <w:t xml:space="preserve">e </w:t>
      </w:r>
      <w:r w:rsidR="0048249A" w:rsidRPr="0041405A">
        <w:rPr>
          <w:rFonts w:ascii="Titillium" w:hAnsi="Titillium"/>
          <w:sz w:val="20"/>
          <w:szCs w:val="20"/>
        </w:rPr>
        <w:t>con i responsabili della pubblicazione dei dat</w:t>
      </w:r>
      <w:r w:rsidR="00BA324C">
        <w:rPr>
          <w:rFonts w:ascii="Titillium" w:hAnsi="Titillium"/>
          <w:sz w:val="20"/>
          <w:szCs w:val="20"/>
        </w:rPr>
        <w:t>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54E70DEB" w14:textId="77777777" w:rsidR="00C27B23" w:rsidRPr="0041405A" w:rsidRDefault="00C27B23" w:rsidP="00BA324C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3F0DDD8B" w14:textId="77777777" w:rsidR="00C27B23" w:rsidRPr="0041405A" w:rsidRDefault="0048249A" w:rsidP="00BA324C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11F8E9ED" w14:textId="010F05FF" w:rsidR="00C27B23" w:rsidRPr="009E3D43" w:rsidRDefault="009E3D43" w:rsidP="00BA324C">
      <w:pPr>
        <w:spacing w:line="276" w:lineRule="auto"/>
        <w:rPr>
          <w:rFonts w:ascii="Titillium" w:hAnsi="Titillium"/>
          <w:bCs/>
          <w:sz w:val="20"/>
          <w:szCs w:val="20"/>
        </w:rPr>
      </w:pPr>
      <w:r>
        <w:rPr>
          <w:rFonts w:ascii="Titillium" w:hAnsi="Titillium"/>
          <w:bCs/>
          <w:sz w:val="20"/>
          <w:szCs w:val="20"/>
        </w:rPr>
        <w:t>Non sono state riscontrate criticità, oltre a quanto già evidenziato nelle note alla griglia di rilevazione.</w:t>
      </w:r>
    </w:p>
    <w:p w14:paraId="1532E711" w14:textId="77777777" w:rsidR="008A0378" w:rsidRPr="0041405A" w:rsidRDefault="008A0378" w:rsidP="00BA324C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CD732F8" w14:textId="5F8F74CF" w:rsidR="00C27B23" w:rsidRDefault="0048249A" w:rsidP="00BA324C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1D812582" w14:textId="3ADE93F1" w:rsidR="00BA324C" w:rsidRPr="00BA324C" w:rsidRDefault="00BA324C" w:rsidP="00BA324C">
      <w:pPr>
        <w:spacing w:line="276" w:lineRule="auto"/>
        <w:rPr>
          <w:rFonts w:ascii="Titillium" w:hAnsi="Titillium"/>
          <w:bCs/>
          <w:sz w:val="20"/>
          <w:szCs w:val="20"/>
        </w:rPr>
      </w:pPr>
      <w:r>
        <w:rPr>
          <w:rFonts w:ascii="Titillium" w:hAnsi="Titillium"/>
          <w:bCs/>
          <w:sz w:val="20"/>
          <w:szCs w:val="20"/>
        </w:rPr>
        <w:t xml:space="preserve">Non </w:t>
      </w:r>
      <w:r>
        <w:rPr>
          <w:rFonts w:ascii="Titillium" w:hAnsi="Titillium"/>
          <w:bCs/>
          <w:sz w:val="20"/>
          <w:szCs w:val="20"/>
        </w:rPr>
        <w:t>si reputa necessario allegare ulteriore documentazione</w:t>
      </w:r>
      <w:r>
        <w:rPr>
          <w:rFonts w:ascii="Titillium" w:hAnsi="Titillium"/>
          <w:bCs/>
          <w:sz w:val="20"/>
          <w:szCs w:val="20"/>
        </w:rPr>
        <w:t>.</w:t>
      </w:r>
    </w:p>
    <w:sectPr w:rsidR="00BA324C" w:rsidRPr="00BA3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C69B" w14:textId="77777777" w:rsidR="004D49D9" w:rsidRDefault="004D49D9">
      <w:pPr>
        <w:spacing w:after="0" w:line="240" w:lineRule="auto"/>
      </w:pPr>
      <w:r>
        <w:separator/>
      </w:r>
    </w:p>
  </w:endnote>
  <w:endnote w:type="continuationSeparator" w:id="0">
    <w:p w14:paraId="07003C81" w14:textId="77777777" w:rsidR="004D49D9" w:rsidRDefault="004D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0252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429C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4921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352E" w14:textId="77777777" w:rsidR="004D49D9" w:rsidRDefault="004D49D9">
      <w:pPr>
        <w:spacing w:after="0" w:line="240" w:lineRule="auto"/>
      </w:pPr>
      <w:r>
        <w:separator/>
      </w:r>
    </w:p>
  </w:footnote>
  <w:footnote w:type="continuationSeparator" w:id="0">
    <w:p w14:paraId="50823CC0" w14:textId="77777777" w:rsidR="004D49D9" w:rsidRDefault="004D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3BF9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170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6D48C38" wp14:editId="2313EB5B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1F3D4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2FA40421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423F200F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0ABDB086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2A29CCB0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E220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117831">
    <w:abstractNumId w:val="1"/>
  </w:num>
  <w:num w:numId="2" w16cid:durableId="1742750202">
    <w:abstractNumId w:val="0"/>
  </w:num>
  <w:num w:numId="3" w16cid:durableId="479539363">
    <w:abstractNumId w:val="2"/>
  </w:num>
  <w:num w:numId="4" w16cid:durableId="1518304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D49D9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9E3D43"/>
    <w:rsid w:val="00A52DF7"/>
    <w:rsid w:val="00AF790D"/>
    <w:rsid w:val="00BA324C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491C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Iacopo Cavallini</cp:lastModifiedBy>
  <cp:revision>29</cp:revision>
  <cp:lastPrinted>2018-02-28T15:30:00Z</cp:lastPrinted>
  <dcterms:created xsi:type="dcterms:W3CDTF">2013-12-19T15:41:00Z</dcterms:created>
  <dcterms:modified xsi:type="dcterms:W3CDTF">2022-06-02T16:30:00Z</dcterms:modified>
</cp:coreProperties>
</file>